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BrainRot Capital Acquires ChoppedChin Inc.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ChoppedChin inc. made $100mm in revenue in 2024. They’re expected to grow sales 10% annually over the next 5 years.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LTM EBITDA margin was 50%. The Company doesn’t expect this margin to change over the next 5 years.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D&amp;A and capex are each expected to be 20% of revenue. Keep flat over the next 5 years.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There is no change in net working capital and the effective tax rate is 25%.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BrainRot Capital purchases ChoppedChin inc. in year 0 for 10x LTM EBITDA. They expect to sell the Company for 10x LTM EBITDA in 5 years.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Assume BrainRot financed ChoppedChin for 6.0x LTM EBITDA at a 10% interest rate (bullet repayment).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Calculate the IRR and MOIC of this transaction.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